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учебно- методического комплекса дисциплины</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учебно-методического комплекса дисциплины»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«Проектирование учебно-методического комплекса дисциплины».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учебно-методического комплекса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акты, определяющие современную государственную молодежную политику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интеллектуальном, культурном, нравственном развитии, профессиональном самоопределении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«Проектирование учебно-методического комплекса дисциплины»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Подготовка педагога к конкурсной и грантовой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про- 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Индивидуально-ориентированный образо- вательный процесс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Компетентностный подход в основе Феде- ральных государственных образовательных стан- 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методического сопровождения ППС вуза в условиях перехода на уровневую сис-тему высшего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Круглый стол. Основные подходы к содержанию и структуре учебно- методического комплекса по дисциплине.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Круглый стол. Назначение и описание компонентов учебно-методического комплекса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Электронный учебник в образовательном процессе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Контрольный блок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Круглый стол. Требования к оформлению и реали-зации компонентов учебно- методического комплекса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48.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про-ектирования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высшего образования. Соотношение понятий «проектирование», «прогнозирование», «конструирование», «моделирование». Творческий характер проектирования. Проектная культура и ее содержательно-смысловые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 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 Функции и функциональные единицы дидактического проектирования.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Индивидуально-ориентированный образо-вательный процесс в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«индивидуализация обучения». Возможности индивидуально- ориентированного обучения. Проектирование и реализация собственных индивидуальных образовательных маршрутов. Индивидуальный и обобщенный образовательный маршрут, и их содержательные компоненты. Типы индивидуальных образовательных маршрутов (ИОМ) в вузе (Н.А. Дука). Индивидуальная образовательная траектория. «Индивидуальная технологическая карта» каждого студента. Индивидуально- ориентированное обучение в вузе. Индивидуальные образовательные планы. Стратегии совершенствования процесса индивидуально ориентированного обучения. Идея навигации движения в образовательном пространстве (внутривузовском, городском, государственном, мировом).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Компетентностный подход в основе Феде-ральных государственных образовательных стан-дартов</w:t>
            </w:r>
          </w:p>
        </w:tc>
      </w:tr>
      <w:tr>
        <w:trPr>
          <w:trHeight w:hRule="exact" w:val="1480.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«образовательный стандарт», его функции в содержании образования, структура стандарта. Понятие «государственные образовательные стандарты. Государст-венные образовательные стандарты, названные Федеральными – ФГОС ВПО. Процесс стандартизации системы ВПО (стандарты первого поколения - 1994-2001 гг.; стандарты второго поколения – 2002-2008 гг.; стандарты третьего поколения - с 2009 г.). Принципи-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альное отличие ФГОС ВПО от своих предшественников. Теория компетентностей в кон- тексте образования. Структура компетентности специалистов.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методического сопровождения ППС вуза в условиях перехода на уровневую сис-тему высшего профессионального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моделирование (создание модели). Характеристика процесса моде- лирования. Модель методического сопровождения ППС вуза. Организационно- педагогические условия эффективного функционирования модели сопровождения дея- тельности преподавателей вуза. УМК, как один из вариантов учебно-методического обес- печения, сопровождающее выбор студента. Сложность конструирования УМК. Динамич- ность функций, содержания, структуры учебно-методического комплекса. Нормативность, позиционность, ценностно смысловая направленность УМК. Учет особенностей образовательной технологии, в условиях которой будет использоваться УМК.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Круглый стол. Основные подходы к содержанию и структуре учебно-методического комплекса по дисциплине.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этапы деятельности студентов в процессе изучения дисциплины.</w:t>
            </w:r>
          </w:p>
          <w:p>
            <w:pPr>
              <w:jc w:val="both"/>
              <w:spacing w:after="0" w:line="240" w:lineRule="auto"/>
              <w:rPr>
                <w:sz w:val="24"/>
                <w:szCs w:val="24"/>
              </w:rPr>
            </w:pPr>
            <w:r>
              <w:rPr>
                <w:rFonts w:ascii="Times New Roman" w:hAnsi="Times New Roman" w:cs="Times New Roman"/>
                <w:color w:val="#000000"/>
                <w:sz w:val="24"/>
                <w:szCs w:val="24"/>
              </w:rPr>
              <w:t> 2.	Выбор методов обучения и воспитания, организационных форм в процессе проектирования комплексного учебно-методического обеспечения по дисциплине.</w:t>
            </w:r>
          </w:p>
          <w:p>
            <w:pPr>
              <w:jc w:val="both"/>
              <w:spacing w:after="0" w:line="240" w:lineRule="auto"/>
              <w:rPr>
                <w:sz w:val="24"/>
                <w:szCs w:val="24"/>
              </w:rPr>
            </w:pPr>
            <w:r>
              <w:rPr>
                <w:rFonts w:ascii="Times New Roman" w:hAnsi="Times New Roman" w:cs="Times New Roman"/>
                <w:color w:val="#000000"/>
                <w:sz w:val="24"/>
                <w:szCs w:val="24"/>
              </w:rPr>
              <w:t> 3.	Иерархическое построение учебно-методического комплекса по дисциплине.</w:t>
            </w:r>
          </w:p>
          <w:p>
            <w:pPr>
              <w:jc w:val="both"/>
              <w:spacing w:after="0" w:line="240" w:lineRule="auto"/>
              <w:rPr>
                <w:sz w:val="24"/>
                <w:szCs w:val="24"/>
              </w:rPr>
            </w:pPr>
            <w:r>
              <w:rPr>
                <w:rFonts w:ascii="Times New Roman" w:hAnsi="Times New Roman" w:cs="Times New Roman"/>
                <w:color w:val="#000000"/>
                <w:sz w:val="24"/>
                <w:szCs w:val="24"/>
              </w:rPr>
              <w:t> 4.	Классификация учебно-методических комплексов (нормативного, учебного, ме- тодического, контроля, корректирующего).</w:t>
            </w:r>
          </w:p>
          <w:p>
            <w:pPr>
              <w:jc w:val="both"/>
              <w:spacing w:after="0" w:line="240" w:lineRule="auto"/>
              <w:rPr>
                <w:sz w:val="24"/>
                <w:szCs w:val="24"/>
              </w:rPr>
            </w:pPr>
            <w:r>
              <w:rPr>
                <w:rFonts w:ascii="Times New Roman" w:hAnsi="Times New Roman" w:cs="Times New Roman"/>
                <w:color w:val="#000000"/>
                <w:sz w:val="24"/>
                <w:szCs w:val="24"/>
              </w:rPr>
              <w:t> 5.	Основная цель создания УМК, структура УМК (три основных блока), требования ко всем элементам учебно-методического комплекса, обязательные элементы УМК, дополнительные элементы УМК, порядок разработки УМК.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Круглый стол. Назначение и описание компонентов учебно -методического комплекса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Разработка рабочих программ учебной дисциплины, профессионального модуля (модульная система).</w:t>
            </w:r>
          </w:p>
          <w:p>
            <w:pPr>
              <w:jc w:val="both"/>
              <w:spacing w:after="0" w:line="240" w:lineRule="auto"/>
              <w:rPr>
                <w:sz w:val="24"/>
                <w:szCs w:val="24"/>
              </w:rPr>
            </w:pPr>
            <w:r>
              <w:rPr>
                <w:rFonts w:ascii="Times New Roman" w:hAnsi="Times New Roman" w:cs="Times New Roman"/>
                <w:color w:val="#000000"/>
                <w:sz w:val="24"/>
                <w:szCs w:val="24"/>
              </w:rPr>
              <w:t> 2.	Структура учебного пособия</w:t>
            </w:r>
          </w:p>
          <w:p>
            <w:pPr>
              <w:jc w:val="both"/>
              <w:spacing w:after="0" w:line="240" w:lineRule="auto"/>
              <w:rPr>
                <w:sz w:val="24"/>
                <w:szCs w:val="24"/>
              </w:rPr>
            </w:pPr>
            <w:r>
              <w:rPr>
                <w:rFonts w:ascii="Times New Roman" w:hAnsi="Times New Roman" w:cs="Times New Roman"/>
                <w:color w:val="#000000"/>
                <w:sz w:val="24"/>
                <w:szCs w:val="24"/>
              </w:rPr>
              <w:t> 3.	Требования к курсу лекций и слайд-презентации.</w:t>
            </w:r>
          </w:p>
          <w:p>
            <w:pPr>
              <w:jc w:val="both"/>
              <w:spacing w:after="0" w:line="240" w:lineRule="auto"/>
              <w:rPr>
                <w:sz w:val="24"/>
                <w:szCs w:val="24"/>
              </w:rPr>
            </w:pPr>
            <w:r>
              <w:rPr>
                <w:rFonts w:ascii="Times New Roman" w:hAnsi="Times New Roman" w:cs="Times New Roman"/>
                <w:color w:val="#000000"/>
                <w:sz w:val="24"/>
                <w:szCs w:val="24"/>
              </w:rPr>
              <w:t> 4.	Применение аудиоматериалов и видеоматериалов в образовании.</w:t>
            </w:r>
          </w:p>
          <w:p>
            <w:pPr>
              <w:jc w:val="both"/>
              <w:spacing w:after="0" w:line="240" w:lineRule="auto"/>
              <w:rPr>
                <w:sz w:val="24"/>
                <w:szCs w:val="24"/>
              </w:rPr>
            </w:pPr>
            <w:r>
              <w:rPr>
                <w:rFonts w:ascii="Times New Roman" w:hAnsi="Times New Roman" w:cs="Times New Roman"/>
                <w:color w:val="#000000"/>
                <w:sz w:val="24"/>
                <w:szCs w:val="24"/>
              </w:rPr>
              <w:t> 5.	Комбинированная слайд-медиа лекция.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Электронный учебник в образовательном процессе высшей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Теория учебника и электронный учебник.</w:t>
            </w:r>
          </w:p>
          <w:p>
            <w:pPr>
              <w:jc w:val="both"/>
              <w:spacing w:after="0" w:line="240" w:lineRule="auto"/>
              <w:rPr>
                <w:sz w:val="24"/>
                <w:szCs w:val="24"/>
              </w:rPr>
            </w:pPr>
            <w:r>
              <w:rPr>
                <w:rFonts w:ascii="Times New Roman" w:hAnsi="Times New Roman" w:cs="Times New Roman"/>
                <w:color w:val="#000000"/>
                <w:sz w:val="24"/>
                <w:szCs w:val="24"/>
              </w:rPr>
              <w:t> 2.	Современные подходы к построению учебников.</w:t>
            </w:r>
          </w:p>
          <w:p>
            <w:pPr>
              <w:jc w:val="both"/>
              <w:spacing w:after="0" w:line="240" w:lineRule="auto"/>
              <w:rPr>
                <w:sz w:val="24"/>
                <w:szCs w:val="24"/>
              </w:rPr>
            </w:pPr>
            <w:r>
              <w:rPr>
                <w:rFonts w:ascii="Times New Roman" w:hAnsi="Times New Roman" w:cs="Times New Roman"/>
                <w:color w:val="#000000"/>
                <w:sz w:val="24"/>
                <w:szCs w:val="24"/>
              </w:rPr>
              <w:t> 3.	Требования к современному учебнику.</w:t>
            </w:r>
          </w:p>
          <w:p>
            <w:pPr>
              <w:jc w:val="both"/>
              <w:spacing w:after="0" w:line="240" w:lineRule="auto"/>
              <w:rPr>
                <w:sz w:val="24"/>
                <w:szCs w:val="24"/>
              </w:rPr>
            </w:pPr>
            <w:r>
              <w:rPr>
                <w:rFonts w:ascii="Times New Roman" w:hAnsi="Times New Roman" w:cs="Times New Roman"/>
                <w:color w:val="#000000"/>
                <w:sz w:val="24"/>
                <w:szCs w:val="24"/>
              </w:rPr>
              <w:t> 4.	История появления термина электронный учебник.</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теории электронного учебник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Контрольный блок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требования к тестовым заданиям («кейсы», упражнения, тесты)</w:t>
            </w:r>
          </w:p>
          <w:p>
            <w:pPr>
              <w:jc w:val="both"/>
              <w:spacing w:after="0" w:line="240" w:lineRule="auto"/>
              <w:rPr>
                <w:sz w:val="24"/>
                <w:szCs w:val="24"/>
              </w:rPr>
            </w:pPr>
            <w:r>
              <w:rPr>
                <w:rFonts w:ascii="Times New Roman" w:hAnsi="Times New Roman" w:cs="Times New Roman"/>
                <w:color w:val="#000000"/>
                <w:sz w:val="24"/>
                <w:szCs w:val="24"/>
              </w:rPr>
              <w:t> 2.	Процедура создание кодификатора.</w:t>
            </w:r>
          </w:p>
          <w:p>
            <w:pPr>
              <w:jc w:val="both"/>
              <w:spacing w:after="0" w:line="240" w:lineRule="auto"/>
              <w:rPr>
                <w:sz w:val="24"/>
                <w:szCs w:val="24"/>
              </w:rPr>
            </w:pPr>
            <w:r>
              <w:rPr>
                <w:rFonts w:ascii="Times New Roman" w:hAnsi="Times New Roman" w:cs="Times New Roman"/>
                <w:color w:val="#000000"/>
                <w:sz w:val="24"/>
                <w:szCs w:val="24"/>
              </w:rPr>
              <w:t> 3.	Учебно-методическое обеспечение семинара.</w:t>
            </w:r>
          </w:p>
          <w:p>
            <w:pPr>
              <w:jc w:val="both"/>
              <w:spacing w:after="0" w:line="240" w:lineRule="auto"/>
              <w:rPr>
                <w:sz w:val="24"/>
                <w:szCs w:val="24"/>
              </w:rPr>
            </w:pPr>
            <w:r>
              <w:rPr>
                <w:rFonts w:ascii="Times New Roman" w:hAnsi="Times New Roman" w:cs="Times New Roman"/>
                <w:color w:val="#000000"/>
                <w:sz w:val="24"/>
                <w:szCs w:val="24"/>
              </w:rPr>
              <w:t> 4.	Методические указания по выполнению практических и лабораторных работ.</w:t>
            </w:r>
          </w:p>
          <w:p>
            <w:pPr>
              <w:jc w:val="both"/>
              <w:spacing w:after="0" w:line="240" w:lineRule="auto"/>
              <w:rPr>
                <w:sz w:val="24"/>
                <w:szCs w:val="24"/>
              </w:rPr>
            </w:pPr>
            <w:r>
              <w:rPr>
                <w:rFonts w:ascii="Times New Roman" w:hAnsi="Times New Roman" w:cs="Times New Roman"/>
                <w:color w:val="#000000"/>
                <w:sz w:val="24"/>
                <w:szCs w:val="24"/>
              </w:rPr>
              <w:t> 5.	Требования к учебно-методическому пособию по курсовому проектированию.</w:t>
            </w:r>
          </w:p>
          <w:p>
            <w:pPr>
              <w:jc w:val="both"/>
              <w:spacing w:after="0" w:line="240" w:lineRule="auto"/>
              <w:rPr>
                <w:sz w:val="24"/>
                <w:szCs w:val="24"/>
              </w:rPr>
            </w:pPr>
            <w:r>
              <w:rPr>
                <w:rFonts w:ascii="Times New Roman" w:hAnsi="Times New Roman" w:cs="Times New Roman"/>
                <w:color w:val="#000000"/>
                <w:sz w:val="24"/>
                <w:szCs w:val="24"/>
              </w:rPr>
              <w:t> 6.	Задания с перекрестной проверкой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Круглый стол. Требования к оформлению и реали-зации компонентов учебно-методического комплекса дисциплины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Правила оформления компонентов учебно-методического комплекса.</w:t>
            </w:r>
          </w:p>
          <w:p>
            <w:pPr>
              <w:jc w:val="both"/>
              <w:spacing w:after="0" w:line="240" w:lineRule="auto"/>
              <w:rPr>
                <w:sz w:val="24"/>
                <w:szCs w:val="24"/>
              </w:rPr>
            </w:pPr>
            <w:r>
              <w:rPr>
                <w:rFonts w:ascii="Times New Roman" w:hAnsi="Times New Roman" w:cs="Times New Roman"/>
                <w:color w:val="#000000"/>
                <w:sz w:val="24"/>
                <w:szCs w:val="24"/>
              </w:rPr>
              <w:t> 2.	Публикация компонентов учебно-методического комплекса на бумажном носите-ле.</w:t>
            </w:r>
          </w:p>
          <w:p>
            <w:pPr>
              <w:jc w:val="both"/>
              <w:spacing w:after="0" w:line="240" w:lineRule="auto"/>
              <w:rPr>
                <w:sz w:val="24"/>
                <w:szCs w:val="24"/>
              </w:rPr>
            </w:pPr>
            <w:r>
              <w:rPr>
                <w:rFonts w:ascii="Times New Roman" w:hAnsi="Times New Roman" w:cs="Times New Roman"/>
                <w:color w:val="#000000"/>
                <w:sz w:val="24"/>
                <w:szCs w:val="24"/>
              </w:rPr>
              <w:t> 3.	Публикация компонентов учебно-методического комплекса на локальных элек-тронных носителях.</w:t>
            </w:r>
          </w:p>
          <w:p>
            <w:pPr>
              <w:jc w:val="both"/>
              <w:spacing w:after="0" w:line="240" w:lineRule="auto"/>
              <w:rPr>
                <w:sz w:val="24"/>
                <w:szCs w:val="24"/>
              </w:rPr>
            </w:pPr>
            <w:r>
              <w:rPr>
                <w:rFonts w:ascii="Times New Roman" w:hAnsi="Times New Roman" w:cs="Times New Roman"/>
                <w:color w:val="#000000"/>
                <w:sz w:val="24"/>
                <w:szCs w:val="24"/>
              </w:rPr>
              <w:t> 4.	Публикация компонентов учебно-методического комплекса в сети Интернет.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учебно-методического комплекса дисциплины» / Шмачилина-Цибенко Светлана Витальевна.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Анзорова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4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2024-2025_ФГОС3++2024_Маг-ЗФО-ПО(Иннов)(24)_plx_Проектирование учебно-методического комплекса дисциплины_Инновации в высшем образовании</dc:title>
  <dc:creator>FastReport.NET</dc:creator>
</cp:coreProperties>
</file>